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color w:val="470F51"/>
          <w:sz w:val="48"/>
        </w:rPr>
        <w:t>Support de cours</w:t>
      </w:r>
    </w:p>
    <w:p>
      <w:pPr>
        <w:jc w:val="center"/>
      </w:pPr>
      <w:r>
        <w:rPr>
          <w:rFonts w:ascii="Times New Roman" w:hAnsi="Times New Roman"/>
          <w:b/>
          <w:color w:val="470F51"/>
          <w:sz w:val="36"/>
        </w:rPr>
        <w:t>Les représentations sociales</w:t>
      </w:r>
    </w:p>
    <w:p>
      <w:pPr>
        <w:jc w:val="center"/>
      </w:pPr>
      <w:r>
        <w:rPr>
          <w:rFonts w:ascii="Times New Roman" w:hAnsi="Times New Roman"/>
          <w:i/>
          <w:color w:val="5A5A5A"/>
          <w:sz w:val="26"/>
        </w:rPr>
        <w:t>Introduction à la théorie du noyau central</w:t>
      </w:r>
    </w:p>
    <w:p/>
    <w:p>
      <w:r>
        <w:rPr>
          <w:rFonts w:ascii="Times New Roman" w:hAnsi="Times New Roman"/>
          <w:b/>
          <w:color w:val="470F51"/>
          <w:sz w:val="28"/>
        </w:rPr>
        <w:t>1. Définition</w:t>
      </w:r>
    </w:p>
    <w:p>
      <w:pPr>
        <w:spacing w:after="200" w:line="312" w:lineRule="auto"/>
        <w:jc w:val="both"/>
      </w:pPr>
      <w:r>
        <w:rPr>
          <w:rFonts w:ascii="Times New Roman" w:hAnsi="Times New Roman"/>
          <w:color w:val="2B2B2B"/>
          <w:sz w:val="23"/>
        </w:rPr>
        <w:t>Une représentation sociale est un système de pensée partagé, socialement élaboré, qui permet aux membres d'un groupe d'interpréter et d'agir sur un objet de leur environnement social. Introduite par Serge Moscovici (1961) dans son étude sur la diffusion de la psychanalyse dans l'espace public, la notion articule savoirs, croyances, attitudes et pratiques autour d'un objet socialement partagé.</w:t>
      </w:r>
    </w:p>
    <w:p>
      <w:r>
        <w:rPr>
          <w:rFonts w:ascii="Times New Roman" w:hAnsi="Times New Roman"/>
          <w:b/>
          <w:color w:val="470F51"/>
          <w:sz w:val="28"/>
        </w:rPr>
        <w:t>2. Structure : noyau central et système périphérique</w:t>
      </w:r>
    </w:p>
    <w:p>
      <w:pPr>
        <w:spacing w:after="200" w:line="312" w:lineRule="auto"/>
        <w:jc w:val="both"/>
      </w:pPr>
      <w:r>
        <w:rPr>
          <w:rFonts w:ascii="Times New Roman" w:hAnsi="Times New Roman"/>
          <w:color w:val="2B2B2B"/>
          <w:sz w:val="23"/>
        </w:rPr>
        <w:t>Jean-Claude Abric propose, à partir de 1976, une approche structurale distinguant deux systèmes complémentaires. Le noyau central est consensuel, stable et résistant au changement : il assure une fonction génératrice (il donne sens aux autres éléments) et une fonction organisatrice (il détermine la nature des liens entre les éléments de la représentation).</w:t>
      </w:r>
    </w:p>
    <w:p>
      <w:pPr>
        <w:spacing w:after="200" w:line="312" w:lineRule="auto"/>
        <w:jc w:val="both"/>
      </w:pPr>
      <w:r>
        <w:rPr>
          <w:rFonts w:ascii="Times New Roman" w:hAnsi="Times New Roman"/>
          <w:color w:val="2B2B2B"/>
          <w:sz w:val="23"/>
        </w:rPr>
        <w:t>Le système périphérique, à l'inverse, est souple et sensible au contexte. Il remplit une fonction de concrétisation, de régulation et de protection du noyau central en absorbant les informations contradictoires susceptibles de le remettre en cause.</w:t>
      </w:r>
    </w:p>
    <w:p>
      <w:r>
        <w:rPr>
          <w:rFonts w:ascii="Times New Roman" w:hAnsi="Times New Roman"/>
          <w:b/>
          <w:color w:val="470F51"/>
          <w:sz w:val="28"/>
        </w:rPr>
        <w:t>3. Méthodes d'identification</w:t>
      </w:r>
    </w:p>
    <w:p>
      <w:pPr>
        <w:spacing w:after="200" w:line="312" w:lineRule="auto"/>
        <w:jc w:val="both"/>
      </w:pPr>
      <w:r>
        <w:rPr>
          <w:rFonts w:ascii="Times New Roman" w:hAnsi="Times New Roman"/>
          <w:color w:val="2B2B2B"/>
          <w:sz w:val="23"/>
        </w:rPr>
        <w:t>Plusieurs techniques permettent de repérer les éléments centraux d'une représentation : la méthode d'association libre couplée à la technique de mise en rang par ordre d'importance (Pierre Vergès), ou encore la technique de mise en cause proposée par Pascal Moliner, qui teste la résistance des éléments identifiés en soumettant les sujets à des scénarios contredisant l'élément supposé central.</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color w:val="2B2B2B"/>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